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22ADF" w14:textId="77777777" w:rsidR="00A84617" w:rsidRDefault="00876655" w:rsidP="00A84617">
      <w:pPr>
        <w:pStyle w:val="BackgroundPlaceholder"/>
      </w:pPr>
      <w:r>
        <w:rPr>
          <w:noProof/>
          <w:lang w:val="en-AU" w:eastAsia="en-AU"/>
        </w:rPr>
        <mc:AlternateContent>
          <mc:Choice Requires="wps">
            <w:drawing>
              <wp:anchor distT="0" distB="0" distL="114300" distR="114300" simplePos="0" relativeHeight="251659264" behindDoc="1" locked="1" layoutInCell="1" allowOverlap="1" wp14:anchorId="422B4596" wp14:editId="1FC58196">
                <wp:simplePos x="0" y="0"/>
                <wp:positionH relativeFrom="page">
                  <wp:align>left</wp:align>
                </wp:positionH>
                <wp:positionV relativeFrom="page">
                  <wp:align>top</wp:align>
                </wp:positionV>
                <wp:extent cx="7772400" cy="10058400"/>
                <wp:effectExtent l="0" t="0" r="0" b="0"/>
                <wp:wrapNone/>
                <wp:docPr id="13360488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7DD1E8" id="Rectangle 1" o:spid="_x0000_s1026" alt="&quot;&quot;" style="position:absolute;margin-left:0;margin-top:0;width:612pt;height:11in;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" fillcolor="#f2f0ee [661]" stroked="f" strokeweight="1.25pt">
                <w10:wrap anchorx="page" anchory="page"/>
                <w10:anchorlock/>
              </v:rect>
            </w:pict>
          </mc:Fallback>
        </mc:AlternateContent>
      </w:r>
    </w:p>
    <w:tbl>
      <w:tblPr>
        <w:tblpPr w:leftFromText="180" w:rightFromText="180" w:vertAnchor="text" w:horzAnchor="margin" w:tblpY="203"/>
        <w:tblW w:w="10200" w:type="dxa"/>
        <w:tblLook w:val="0680" w:firstRow="0" w:lastRow="0" w:firstColumn="1" w:lastColumn="0" w:noHBand="1" w:noVBand="1"/>
      </w:tblPr>
      <w:tblGrid>
        <w:gridCol w:w="3369"/>
        <w:gridCol w:w="6831"/>
      </w:tblGrid>
      <w:tr w:rsidR="00A84617" w:rsidRPr="00184799" w14:paraId="0134AA5B" w14:textId="77777777" w:rsidTr="00EE3B52">
        <w:trPr>
          <w:trHeight w:val="904"/>
        </w:trPr>
        <w:tc>
          <w:tcPr>
            <w:tcW w:w="10200" w:type="dxa"/>
            <w:gridSpan w:val="2"/>
          </w:tcPr>
          <w:p w14:paraId="4D138726" w14:textId="57E2171C" w:rsidR="00A84617" w:rsidRPr="00797F60" w:rsidRDefault="00C24FFD" w:rsidP="00007D14">
            <w:pPr>
              <w:pStyle w:val="Title"/>
            </w:pPr>
            <w:r>
              <w:t>SMBX</w:t>
            </w:r>
          </w:p>
        </w:tc>
      </w:tr>
      <w:tr w:rsidR="00A84617" w:rsidRPr="00184799" w14:paraId="03C86EAD" w14:textId="77777777" w:rsidTr="00EE3B52">
        <w:trPr>
          <w:trHeight w:val="793"/>
        </w:trPr>
        <w:tc>
          <w:tcPr>
            <w:tcW w:w="10200" w:type="dxa"/>
            <w:gridSpan w:val="2"/>
            <w:tcBorders>
              <w:bottom w:val="single" w:sz="24" w:space="0" w:color="00663D" w:themeColor="accent3"/>
            </w:tcBorders>
          </w:tcPr>
          <w:p w14:paraId="5C780799" w14:textId="4B60228D" w:rsidR="00A84617" w:rsidRPr="00184799" w:rsidRDefault="00EE3B52" w:rsidP="00007D14">
            <w:pPr>
              <w:pStyle w:val="Subtitle"/>
            </w:pPr>
            <w:r>
              <w:t>www.</w:t>
            </w:r>
            <w:r w:rsidR="00C24FFD">
              <w:t>smbx</w:t>
            </w:r>
            <w:r>
              <w:t>.com</w:t>
            </w:r>
          </w:p>
        </w:tc>
      </w:tr>
      <w:tr w:rsidR="00A84617" w:rsidRPr="00184799" w14:paraId="2BF69D6D" w14:textId="77777777" w:rsidTr="00EE3B52">
        <w:trPr>
          <w:trHeight w:val="723"/>
        </w:trPr>
        <w:tc>
          <w:tcPr>
            <w:tcW w:w="3369" w:type="dxa"/>
            <w:tcBorders>
              <w:top w:val="single" w:sz="24" w:space="0" w:color="00663D" w:themeColor="accent3"/>
            </w:tcBorders>
            <w:noWrap/>
            <w:vAlign w:val="center"/>
          </w:tcPr>
          <w:p w14:paraId="0DC618EB" w14:textId="6A4FF2CC" w:rsidR="00EE3B52" w:rsidRDefault="00C24FFD" w:rsidP="003A70DD">
            <w:pPr>
              <w:pStyle w:val="ListParagraph"/>
              <w:numPr>
                <w:ilvl w:val="0"/>
                <w:numId w:val="26"/>
              </w:numPr>
            </w:pPr>
            <w:r>
              <w:t>Bond Funding</w:t>
            </w:r>
          </w:p>
          <w:p w14:paraId="249CADB8" w14:textId="77777777" w:rsidR="004552DC" w:rsidRDefault="004552DC" w:rsidP="004552DC"/>
          <w:p w14:paraId="5C69CB8B" w14:textId="5EFEE95C" w:rsidR="004552DC" w:rsidRDefault="004552DC" w:rsidP="004552DC">
            <w:r>
              <w:t>Contact: William Watts</w:t>
            </w:r>
          </w:p>
          <w:p w14:paraId="06DB071F" w14:textId="033E1790" w:rsidR="004552DC" w:rsidRDefault="004552DC" w:rsidP="004552DC">
            <w:r w:rsidRPr="004552DC">
              <w:t>williamwatts@thesmbx.com</w:t>
            </w:r>
          </w:p>
          <w:p w14:paraId="3B4A859D" w14:textId="3372FDD9" w:rsidR="00EE3B52" w:rsidRPr="00876655" w:rsidRDefault="00EE3B52" w:rsidP="00ED40E7">
            <w:pPr>
              <w:pStyle w:val="ListParagraph"/>
            </w:pPr>
          </w:p>
        </w:tc>
        <w:tc>
          <w:tcPr>
            <w:tcW w:w="6830" w:type="dxa"/>
            <w:tcBorders>
              <w:top w:val="single" w:sz="24" w:space="0" w:color="00663D" w:themeColor="accent3"/>
            </w:tcBorders>
            <w:noWrap/>
            <w:vAlign w:val="center"/>
          </w:tcPr>
          <w:p w14:paraId="34F4BCAA" w14:textId="08D598D5" w:rsidR="00A84617" w:rsidRPr="00C021A3" w:rsidRDefault="00A84617" w:rsidP="00876655"/>
        </w:tc>
      </w:tr>
      <w:tr w:rsidR="00A84617" w:rsidRPr="00184799" w14:paraId="3623CBB6" w14:textId="77777777" w:rsidTr="00EE3B52">
        <w:trPr>
          <w:trHeight w:val="723"/>
        </w:trPr>
        <w:tc>
          <w:tcPr>
            <w:tcW w:w="3369" w:type="dxa"/>
            <w:noWrap/>
            <w:vAlign w:val="center"/>
          </w:tcPr>
          <w:p w14:paraId="2F022601" w14:textId="28434C90" w:rsidR="00A84617" w:rsidRPr="00876655" w:rsidRDefault="00A84617" w:rsidP="00876655"/>
        </w:tc>
        <w:tc>
          <w:tcPr>
            <w:tcW w:w="6830" w:type="dxa"/>
            <w:noWrap/>
            <w:vAlign w:val="center"/>
          </w:tcPr>
          <w:p w14:paraId="0078D22D" w14:textId="1620293A" w:rsidR="00A84617" w:rsidRPr="00C021A3" w:rsidRDefault="00A84617" w:rsidP="00876655"/>
        </w:tc>
      </w:tr>
      <w:tr w:rsidR="00A84617" w:rsidRPr="00184799" w14:paraId="3F6FF5EC" w14:textId="77777777" w:rsidTr="004552DC">
        <w:trPr>
          <w:trHeight w:val="70"/>
        </w:trPr>
        <w:tc>
          <w:tcPr>
            <w:tcW w:w="3369" w:type="dxa"/>
            <w:tcBorders>
              <w:bottom w:val="single" w:sz="24" w:space="0" w:color="00663D" w:themeColor="accent3"/>
            </w:tcBorders>
            <w:noWrap/>
            <w:vAlign w:val="center"/>
          </w:tcPr>
          <w:p w14:paraId="164AC3E9" w14:textId="72873F5C" w:rsidR="00A84617" w:rsidRPr="00C021A3" w:rsidRDefault="00A84617" w:rsidP="00876655"/>
        </w:tc>
        <w:tc>
          <w:tcPr>
            <w:tcW w:w="6830" w:type="dxa"/>
            <w:tcBorders>
              <w:bottom w:val="single" w:sz="24" w:space="0" w:color="00663D" w:themeColor="accent3"/>
            </w:tcBorders>
            <w:noWrap/>
            <w:vAlign w:val="center"/>
          </w:tcPr>
          <w:p w14:paraId="4D4A88D3" w14:textId="6FA39B3C" w:rsidR="00A84617" w:rsidRPr="00C021A3" w:rsidRDefault="00A84617" w:rsidP="00876655"/>
        </w:tc>
      </w:tr>
    </w:tbl>
    <w:p w14:paraId="453A2E75" w14:textId="77777777" w:rsidR="00A84617" w:rsidRDefault="00A84617" w:rsidP="00A84617"/>
    <w:p w14:paraId="109CC3F3" w14:textId="77777777" w:rsidR="00C24FFD" w:rsidRPr="00C24FFD" w:rsidRDefault="00C24FFD" w:rsidP="00C24FFD">
      <w:p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Introduction</w:t>
      </w:r>
      <w:r w:rsidRPr="00C24FFD">
        <w:rPr>
          <w:rFonts w:ascii="Times New Roman" w:eastAsia="Times New Roman" w:hAnsi="Times New Roman" w:cs="Times New Roman"/>
          <w:color w:val="auto"/>
          <w:sz w:val="24"/>
          <w:szCs w:val="24"/>
          <w:lang w:eastAsia="en-US"/>
        </w:rPr>
        <w:t xml:space="preserve"> SMBX is an innovative financial platform that empowers small and medium-sized businesses (SMBs) to raise capital directly from their community and individual investors. By leveraging the power of the blockchain, SMBX offers a decentralized marketplace where businesses can issue and sell small business bonds to fund their growth and expansion. This unique approach democratizes access to investment opportunities, allowing everyday investors to support and invest in local businesses while earning competitive returns.</w:t>
      </w:r>
    </w:p>
    <w:p w14:paraId="6915FC18" w14:textId="77777777" w:rsidR="00C24FFD" w:rsidRPr="00C24FFD" w:rsidRDefault="00C24FFD" w:rsidP="00C24FFD">
      <w:p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Mission and Vision</w:t>
      </w:r>
      <w:r w:rsidRPr="00C24FFD">
        <w:rPr>
          <w:rFonts w:ascii="Times New Roman" w:eastAsia="Times New Roman" w:hAnsi="Times New Roman" w:cs="Times New Roman"/>
          <w:color w:val="auto"/>
          <w:sz w:val="24"/>
          <w:szCs w:val="24"/>
          <w:lang w:eastAsia="en-US"/>
        </w:rPr>
        <w:t xml:space="preserve"> SMBX’s mission is to revolutionize small business financing by providing an inclusive and accessible platform for both businesses and investors. The company envisions a world where businesses can thrive with the support of their communities, and where individuals can invest in the growth of local economies with confidence and ease.</w:t>
      </w:r>
    </w:p>
    <w:p w14:paraId="0B75151D" w14:textId="77777777" w:rsidR="00C24FFD" w:rsidRPr="00C24FFD" w:rsidRDefault="00C24FFD" w:rsidP="00C24FFD">
      <w:p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Key Features and Services</w:t>
      </w:r>
    </w:p>
    <w:p w14:paraId="25B7BEB2" w14:textId="77777777" w:rsidR="00C24FFD" w:rsidRPr="00C24FFD" w:rsidRDefault="00C24FFD" w:rsidP="00C24FFD">
      <w:pPr>
        <w:numPr>
          <w:ilvl w:val="0"/>
          <w:numId w:val="39"/>
        </w:num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Small Business Bonds</w:t>
      </w:r>
      <w:r w:rsidRPr="00C24FFD">
        <w:rPr>
          <w:rFonts w:ascii="Times New Roman" w:eastAsia="Times New Roman" w:hAnsi="Times New Roman" w:cs="Times New Roman"/>
          <w:color w:val="auto"/>
          <w:sz w:val="24"/>
          <w:szCs w:val="24"/>
          <w:lang w:eastAsia="en-US"/>
        </w:rPr>
        <w:t>: SMBX enables businesses to issue bonds to raise funds, providing an alternative to traditional loans and equity financing. These bonds are attractive to investors seeking regular interest payments and principal repayment upon maturity.</w:t>
      </w:r>
    </w:p>
    <w:p w14:paraId="151B7F3E" w14:textId="77777777" w:rsidR="00C24FFD" w:rsidRPr="00C24FFD" w:rsidRDefault="00C24FFD" w:rsidP="00C24FFD">
      <w:pPr>
        <w:numPr>
          <w:ilvl w:val="0"/>
          <w:numId w:val="39"/>
        </w:num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Blockchain Technology</w:t>
      </w:r>
      <w:r w:rsidRPr="00C24FFD">
        <w:rPr>
          <w:rFonts w:ascii="Times New Roman" w:eastAsia="Times New Roman" w:hAnsi="Times New Roman" w:cs="Times New Roman"/>
          <w:color w:val="auto"/>
          <w:sz w:val="24"/>
          <w:szCs w:val="24"/>
          <w:lang w:eastAsia="en-US"/>
        </w:rPr>
        <w:t>: Utilizing blockchain ensures transparency, security, and efficiency in transactions, offering a trustworthy environment for both issuers and investors.</w:t>
      </w:r>
    </w:p>
    <w:p w14:paraId="5AED396D" w14:textId="77777777" w:rsidR="00C24FFD" w:rsidRPr="00C24FFD" w:rsidRDefault="00C24FFD" w:rsidP="00C24FFD">
      <w:pPr>
        <w:numPr>
          <w:ilvl w:val="0"/>
          <w:numId w:val="39"/>
        </w:num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Investor Accessibility</w:t>
      </w:r>
      <w:r w:rsidRPr="00C24FFD">
        <w:rPr>
          <w:rFonts w:ascii="Times New Roman" w:eastAsia="Times New Roman" w:hAnsi="Times New Roman" w:cs="Times New Roman"/>
          <w:color w:val="auto"/>
          <w:sz w:val="24"/>
          <w:szCs w:val="24"/>
          <w:lang w:eastAsia="en-US"/>
        </w:rPr>
        <w:t>: The platform is designed to be user-friendly, allowing individuals of all investment levels to participate in funding local businesses. Investors can browse available bonds, invest with ease, and track their investments through the platform.</w:t>
      </w:r>
    </w:p>
    <w:p w14:paraId="59C0E483" w14:textId="77777777" w:rsidR="00C24FFD" w:rsidRPr="00C24FFD" w:rsidRDefault="00C24FFD" w:rsidP="00C24FFD">
      <w:pPr>
        <w:numPr>
          <w:ilvl w:val="0"/>
          <w:numId w:val="39"/>
        </w:num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Community Engagement</w:t>
      </w:r>
      <w:r w:rsidRPr="00C24FFD">
        <w:rPr>
          <w:rFonts w:ascii="Times New Roman" w:eastAsia="Times New Roman" w:hAnsi="Times New Roman" w:cs="Times New Roman"/>
          <w:color w:val="auto"/>
          <w:sz w:val="24"/>
          <w:szCs w:val="24"/>
          <w:lang w:eastAsia="en-US"/>
        </w:rPr>
        <w:t>: By connecting businesses directly with their customers and supporters, SMBX fosters a sense of community and shared success. Businesses benefit from the loyalty and support of local investors, while investors contribute to the growth of businesses they care about.</w:t>
      </w:r>
    </w:p>
    <w:p w14:paraId="580B4E3B" w14:textId="77777777" w:rsidR="00C24FFD" w:rsidRPr="00C24FFD" w:rsidRDefault="00C24FFD" w:rsidP="00C24FFD">
      <w:p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Benefits for Businesses</w:t>
      </w:r>
    </w:p>
    <w:p w14:paraId="44C502B4" w14:textId="77777777" w:rsidR="00C24FFD" w:rsidRPr="00C24FFD" w:rsidRDefault="00C24FFD" w:rsidP="00C24FFD">
      <w:pPr>
        <w:numPr>
          <w:ilvl w:val="0"/>
          <w:numId w:val="40"/>
        </w:num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Flexible Financing</w:t>
      </w:r>
      <w:r w:rsidRPr="00C24FFD">
        <w:rPr>
          <w:rFonts w:ascii="Times New Roman" w:eastAsia="Times New Roman" w:hAnsi="Times New Roman" w:cs="Times New Roman"/>
          <w:color w:val="auto"/>
          <w:sz w:val="24"/>
          <w:szCs w:val="24"/>
          <w:lang w:eastAsia="en-US"/>
        </w:rPr>
        <w:t>: Businesses can customize bond terms to meet their specific needs, including interest rates, repayment schedules, and maturity dates.</w:t>
      </w:r>
    </w:p>
    <w:p w14:paraId="550581FD" w14:textId="77777777" w:rsidR="00C24FFD" w:rsidRPr="00C24FFD" w:rsidRDefault="00C24FFD" w:rsidP="00C24FFD">
      <w:pPr>
        <w:numPr>
          <w:ilvl w:val="0"/>
          <w:numId w:val="40"/>
        </w:num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lastRenderedPageBreak/>
        <w:t>Cost-Effective</w:t>
      </w:r>
      <w:r w:rsidRPr="00C24FFD">
        <w:rPr>
          <w:rFonts w:ascii="Times New Roman" w:eastAsia="Times New Roman" w:hAnsi="Times New Roman" w:cs="Times New Roman"/>
          <w:color w:val="auto"/>
          <w:sz w:val="24"/>
          <w:szCs w:val="24"/>
          <w:lang w:eastAsia="en-US"/>
        </w:rPr>
        <w:t>: Raising capital through SMBX can be more affordable than traditional financing options, with fewer intermediaries and lower fees.</w:t>
      </w:r>
    </w:p>
    <w:p w14:paraId="4F58B581" w14:textId="77777777" w:rsidR="00C24FFD" w:rsidRPr="00C24FFD" w:rsidRDefault="00C24FFD" w:rsidP="00C24FFD">
      <w:pPr>
        <w:numPr>
          <w:ilvl w:val="0"/>
          <w:numId w:val="40"/>
        </w:num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Strengthened Relationships</w:t>
      </w:r>
      <w:r w:rsidRPr="00C24FFD">
        <w:rPr>
          <w:rFonts w:ascii="Times New Roman" w:eastAsia="Times New Roman" w:hAnsi="Times New Roman" w:cs="Times New Roman"/>
          <w:color w:val="auto"/>
          <w:sz w:val="24"/>
          <w:szCs w:val="24"/>
          <w:lang w:eastAsia="en-US"/>
        </w:rPr>
        <w:t>: Engaging with investors who are also customers can enhance brand loyalty and community support.</w:t>
      </w:r>
    </w:p>
    <w:p w14:paraId="1937F39A" w14:textId="77777777" w:rsidR="00C24FFD" w:rsidRPr="00C24FFD" w:rsidRDefault="00C24FFD" w:rsidP="00C24FFD">
      <w:p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Benefits for Investors</w:t>
      </w:r>
    </w:p>
    <w:p w14:paraId="12891757" w14:textId="77777777" w:rsidR="00C24FFD" w:rsidRPr="00C24FFD" w:rsidRDefault="00C24FFD" w:rsidP="00C24FFD">
      <w:pPr>
        <w:numPr>
          <w:ilvl w:val="0"/>
          <w:numId w:val="41"/>
        </w:num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Attractive Returns</w:t>
      </w:r>
      <w:r w:rsidRPr="00C24FFD">
        <w:rPr>
          <w:rFonts w:ascii="Times New Roman" w:eastAsia="Times New Roman" w:hAnsi="Times New Roman" w:cs="Times New Roman"/>
          <w:color w:val="auto"/>
          <w:sz w:val="24"/>
          <w:szCs w:val="24"/>
          <w:lang w:eastAsia="en-US"/>
        </w:rPr>
        <w:t>: Investors earn regular interest payments, providing a predictable income stream.</w:t>
      </w:r>
    </w:p>
    <w:p w14:paraId="30512785" w14:textId="77777777" w:rsidR="00C24FFD" w:rsidRPr="00C24FFD" w:rsidRDefault="00C24FFD" w:rsidP="00C24FFD">
      <w:pPr>
        <w:numPr>
          <w:ilvl w:val="0"/>
          <w:numId w:val="41"/>
        </w:num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Diversification</w:t>
      </w:r>
      <w:r w:rsidRPr="00C24FFD">
        <w:rPr>
          <w:rFonts w:ascii="Times New Roman" w:eastAsia="Times New Roman" w:hAnsi="Times New Roman" w:cs="Times New Roman"/>
          <w:color w:val="auto"/>
          <w:sz w:val="24"/>
          <w:szCs w:val="24"/>
          <w:lang w:eastAsia="en-US"/>
        </w:rPr>
        <w:t>: Investing in small business bonds offers an opportunity to diversify portfolios with fixed-income securities.</w:t>
      </w:r>
    </w:p>
    <w:p w14:paraId="3465D4A9" w14:textId="77777777" w:rsidR="00C24FFD" w:rsidRPr="00C24FFD" w:rsidRDefault="00C24FFD" w:rsidP="00C24FFD">
      <w:pPr>
        <w:numPr>
          <w:ilvl w:val="0"/>
          <w:numId w:val="41"/>
        </w:numPr>
        <w:spacing w:before="100" w:beforeAutospacing="1" w:after="100" w:afterAutospacing="1"/>
        <w:rPr>
          <w:rFonts w:ascii="Times New Roman" w:eastAsia="Times New Roman" w:hAnsi="Times New Roman" w:cs="Times New Roman"/>
          <w:color w:val="auto"/>
          <w:sz w:val="24"/>
          <w:szCs w:val="24"/>
          <w:lang w:eastAsia="en-US"/>
        </w:rPr>
      </w:pPr>
      <w:r w:rsidRPr="00C24FFD">
        <w:rPr>
          <w:rFonts w:ascii="Times New Roman" w:eastAsia="Times New Roman" w:hAnsi="Times New Roman" w:cs="Times New Roman"/>
          <w:b/>
          <w:bCs/>
          <w:color w:val="auto"/>
          <w:sz w:val="24"/>
          <w:szCs w:val="24"/>
          <w:lang w:eastAsia="en-US"/>
        </w:rPr>
        <w:t>Supporting Local Economies</w:t>
      </w:r>
      <w:r w:rsidRPr="00C24FFD">
        <w:rPr>
          <w:rFonts w:ascii="Times New Roman" w:eastAsia="Times New Roman" w:hAnsi="Times New Roman" w:cs="Times New Roman"/>
          <w:color w:val="auto"/>
          <w:sz w:val="24"/>
          <w:szCs w:val="24"/>
          <w:lang w:eastAsia="en-US"/>
        </w:rPr>
        <w:t>: Investors can directly impact the growth and success of businesses within their communities, fostering economic development.</w:t>
      </w:r>
    </w:p>
    <w:p w14:paraId="15F02E41" w14:textId="6FC9F6B1" w:rsidR="003A70DD" w:rsidRPr="003A70DD" w:rsidRDefault="003A70DD" w:rsidP="00C24FFD">
      <w:pPr>
        <w:spacing w:before="100" w:beforeAutospacing="1" w:after="100" w:afterAutospacing="1"/>
        <w:rPr>
          <w:rFonts w:ascii="Times New Roman" w:eastAsia="Times New Roman" w:hAnsi="Times New Roman" w:cs="Times New Roman"/>
          <w:color w:val="auto"/>
          <w:sz w:val="24"/>
          <w:szCs w:val="24"/>
          <w:lang w:eastAsia="en-US"/>
        </w:rPr>
      </w:pPr>
    </w:p>
    <w:sectPr w:rsidR="003A70DD" w:rsidRPr="003A70DD"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56B04" w14:textId="77777777" w:rsidR="00952F29" w:rsidRDefault="00952F29">
      <w:r>
        <w:separator/>
      </w:r>
    </w:p>
  </w:endnote>
  <w:endnote w:type="continuationSeparator" w:id="0">
    <w:p w14:paraId="3080FC44" w14:textId="77777777" w:rsidR="00952F29" w:rsidRDefault="009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4936" w14:textId="77777777" w:rsidR="00952F29" w:rsidRDefault="00952F29">
      <w:r>
        <w:separator/>
      </w:r>
    </w:p>
  </w:footnote>
  <w:footnote w:type="continuationSeparator" w:id="0">
    <w:p w14:paraId="0D22FF38" w14:textId="77777777" w:rsidR="00952F29" w:rsidRDefault="00952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401CF"/>
    <w:multiLevelType w:val="multilevel"/>
    <w:tmpl w:val="3770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A374F1"/>
    <w:multiLevelType w:val="multilevel"/>
    <w:tmpl w:val="428C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A11BCF"/>
    <w:multiLevelType w:val="multilevel"/>
    <w:tmpl w:val="0EB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06C9B"/>
    <w:multiLevelType w:val="multilevel"/>
    <w:tmpl w:val="A208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5703B7"/>
    <w:multiLevelType w:val="multilevel"/>
    <w:tmpl w:val="4ACE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527F4"/>
    <w:multiLevelType w:val="hybridMultilevel"/>
    <w:tmpl w:val="F25E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FE352F"/>
    <w:multiLevelType w:val="multilevel"/>
    <w:tmpl w:val="23F0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8D7390"/>
    <w:multiLevelType w:val="multilevel"/>
    <w:tmpl w:val="785E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341045"/>
    <w:multiLevelType w:val="multilevel"/>
    <w:tmpl w:val="CF8EF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9244FC"/>
    <w:multiLevelType w:val="multilevel"/>
    <w:tmpl w:val="5E58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001ABA"/>
    <w:multiLevelType w:val="multilevel"/>
    <w:tmpl w:val="350E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BE7B95"/>
    <w:multiLevelType w:val="multilevel"/>
    <w:tmpl w:val="C5F6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D7C56"/>
    <w:multiLevelType w:val="multilevel"/>
    <w:tmpl w:val="9D8A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EC0699"/>
    <w:multiLevelType w:val="multilevel"/>
    <w:tmpl w:val="8658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7350E6"/>
    <w:multiLevelType w:val="multilevel"/>
    <w:tmpl w:val="788C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9C0334"/>
    <w:multiLevelType w:val="multilevel"/>
    <w:tmpl w:val="21B6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40B0C"/>
    <w:multiLevelType w:val="multilevel"/>
    <w:tmpl w:val="D9AE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17281"/>
    <w:multiLevelType w:val="multilevel"/>
    <w:tmpl w:val="1E342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571F96"/>
    <w:multiLevelType w:val="multilevel"/>
    <w:tmpl w:val="FA1E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02D58"/>
    <w:multiLevelType w:val="multilevel"/>
    <w:tmpl w:val="8DEA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33AB2"/>
    <w:multiLevelType w:val="multilevel"/>
    <w:tmpl w:val="1C04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478759">
    <w:abstractNumId w:val="25"/>
  </w:num>
  <w:num w:numId="2" w16cid:durableId="1433237341">
    <w:abstractNumId w:val="34"/>
  </w:num>
  <w:num w:numId="3" w16cid:durableId="855968409">
    <w:abstractNumId w:val="17"/>
  </w:num>
  <w:num w:numId="4" w16cid:durableId="595095095">
    <w:abstractNumId w:val="10"/>
  </w:num>
  <w:num w:numId="5" w16cid:durableId="1960843496">
    <w:abstractNumId w:val="18"/>
  </w:num>
  <w:num w:numId="6" w16cid:durableId="1030766330">
    <w:abstractNumId w:val="9"/>
  </w:num>
  <w:num w:numId="7" w16cid:durableId="1568568945">
    <w:abstractNumId w:val="7"/>
  </w:num>
  <w:num w:numId="8" w16cid:durableId="723263097">
    <w:abstractNumId w:val="6"/>
  </w:num>
  <w:num w:numId="9" w16cid:durableId="16782570">
    <w:abstractNumId w:val="5"/>
  </w:num>
  <w:num w:numId="10" w16cid:durableId="1043210331">
    <w:abstractNumId w:val="4"/>
  </w:num>
  <w:num w:numId="11" w16cid:durableId="1637643140">
    <w:abstractNumId w:val="8"/>
  </w:num>
  <w:num w:numId="12" w16cid:durableId="1095637725">
    <w:abstractNumId w:val="3"/>
  </w:num>
  <w:num w:numId="13" w16cid:durableId="1048264789">
    <w:abstractNumId w:val="2"/>
  </w:num>
  <w:num w:numId="14" w16cid:durableId="294338312">
    <w:abstractNumId w:val="1"/>
  </w:num>
  <w:num w:numId="15" w16cid:durableId="1833370733">
    <w:abstractNumId w:val="0"/>
  </w:num>
  <w:num w:numId="16" w16cid:durableId="1698193034">
    <w:abstractNumId w:val="36"/>
  </w:num>
  <w:num w:numId="17" w16cid:durableId="1842545932">
    <w:abstractNumId w:val="38"/>
  </w:num>
  <w:num w:numId="18" w16cid:durableId="596598419">
    <w:abstractNumId w:val="37"/>
  </w:num>
  <w:num w:numId="19" w16cid:durableId="683166105">
    <w:abstractNumId w:val="9"/>
  </w:num>
  <w:num w:numId="20" w16cid:durableId="1095974319">
    <w:abstractNumId w:val="30"/>
  </w:num>
  <w:num w:numId="21" w16cid:durableId="226497171">
    <w:abstractNumId w:val="11"/>
  </w:num>
  <w:num w:numId="22" w16cid:durableId="129905080">
    <w:abstractNumId w:val="26"/>
  </w:num>
  <w:num w:numId="23" w16cid:durableId="146671219">
    <w:abstractNumId w:val="14"/>
  </w:num>
  <w:num w:numId="24" w16cid:durableId="998800906">
    <w:abstractNumId w:val="19"/>
  </w:num>
  <w:num w:numId="25" w16cid:durableId="1128662885">
    <w:abstractNumId w:val="13"/>
  </w:num>
  <w:num w:numId="26" w16cid:durableId="2047175163">
    <w:abstractNumId w:val="16"/>
  </w:num>
  <w:num w:numId="27" w16cid:durableId="1120227540">
    <w:abstractNumId w:val="33"/>
  </w:num>
  <w:num w:numId="28" w16cid:durableId="1074402011">
    <w:abstractNumId w:val="23"/>
  </w:num>
  <w:num w:numId="29" w16cid:durableId="1539850243">
    <w:abstractNumId w:val="15"/>
  </w:num>
  <w:num w:numId="30" w16cid:durableId="191498007">
    <w:abstractNumId w:val="39"/>
  </w:num>
  <w:num w:numId="31" w16cid:durableId="994146582">
    <w:abstractNumId w:val="22"/>
  </w:num>
  <w:num w:numId="32" w16cid:durableId="328143227">
    <w:abstractNumId w:val="32"/>
  </w:num>
  <w:num w:numId="33" w16cid:durableId="546843182">
    <w:abstractNumId w:val="29"/>
  </w:num>
  <w:num w:numId="34" w16cid:durableId="1513032206">
    <w:abstractNumId w:val="35"/>
  </w:num>
  <w:num w:numId="35" w16cid:durableId="1206718475">
    <w:abstractNumId w:val="21"/>
  </w:num>
  <w:num w:numId="36" w16cid:durableId="1739933790">
    <w:abstractNumId w:val="27"/>
  </w:num>
  <w:num w:numId="37" w16cid:durableId="248806867">
    <w:abstractNumId w:val="12"/>
  </w:num>
  <w:num w:numId="38" w16cid:durableId="1561139172">
    <w:abstractNumId w:val="31"/>
  </w:num>
  <w:num w:numId="39" w16cid:durableId="1332833111">
    <w:abstractNumId w:val="24"/>
  </w:num>
  <w:num w:numId="40" w16cid:durableId="430979970">
    <w:abstractNumId w:val="28"/>
  </w:num>
  <w:num w:numId="41" w16cid:durableId="18670154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AB"/>
    <w:rsid w:val="00001178"/>
    <w:rsid w:val="000221C7"/>
    <w:rsid w:val="00022357"/>
    <w:rsid w:val="00056A41"/>
    <w:rsid w:val="00072585"/>
    <w:rsid w:val="0007293E"/>
    <w:rsid w:val="00081D4D"/>
    <w:rsid w:val="00090F53"/>
    <w:rsid w:val="000D1B9D"/>
    <w:rsid w:val="000D3261"/>
    <w:rsid w:val="000F21A5"/>
    <w:rsid w:val="0010500D"/>
    <w:rsid w:val="001312D7"/>
    <w:rsid w:val="00151E11"/>
    <w:rsid w:val="00184799"/>
    <w:rsid w:val="0019575F"/>
    <w:rsid w:val="00196BE1"/>
    <w:rsid w:val="001F613B"/>
    <w:rsid w:val="002A2B44"/>
    <w:rsid w:val="002A3FCB"/>
    <w:rsid w:val="002D3701"/>
    <w:rsid w:val="00314CC1"/>
    <w:rsid w:val="00330DAC"/>
    <w:rsid w:val="003871FA"/>
    <w:rsid w:val="003A01CF"/>
    <w:rsid w:val="003A70DD"/>
    <w:rsid w:val="003B317A"/>
    <w:rsid w:val="003B5FCE"/>
    <w:rsid w:val="003D4CAB"/>
    <w:rsid w:val="003D5217"/>
    <w:rsid w:val="00402E7E"/>
    <w:rsid w:val="00416222"/>
    <w:rsid w:val="00424F9F"/>
    <w:rsid w:val="00435446"/>
    <w:rsid w:val="004552DC"/>
    <w:rsid w:val="00466C22"/>
    <w:rsid w:val="00476525"/>
    <w:rsid w:val="004A52D5"/>
    <w:rsid w:val="004D5988"/>
    <w:rsid w:val="004F4532"/>
    <w:rsid w:val="00506542"/>
    <w:rsid w:val="00512149"/>
    <w:rsid w:val="0058206D"/>
    <w:rsid w:val="00591AB5"/>
    <w:rsid w:val="005D2056"/>
    <w:rsid w:val="006150B0"/>
    <w:rsid w:val="00624148"/>
    <w:rsid w:val="00635577"/>
    <w:rsid w:val="00655F6F"/>
    <w:rsid w:val="00684306"/>
    <w:rsid w:val="006C785E"/>
    <w:rsid w:val="00703F95"/>
    <w:rsid w:val="007173EB"/>
    <w:rsid w:val="00727D75"/>
    <w:rsid w:val="00744F05"/>
    <w:rsid w:val="007638A6"/>
    <w:rsid w:val="00772E3C"/>
    <w:rsid w:val="00774146"/>
    <w:rsid w:val="0078288E"/>
    <w:rsid w:val="00786D8E"/>
    <w:rsid w:val="00797F60"/>
    <w:rsid w:val="007B3F2B"/>
    <w:rsid w:val="007B507E"/>
    <w:rsid w:val="008361F1"/>
    <w:rsid w:val="0083758C"/>
    <w:rsid w:val="0087444D"/>
    <w:rsid w:val="008746A9"/>
    <w:rsid w:val="00876655"/>
    <w:rsid w:val="00883FFD"/>
    <w:rsid w:val="00895650"/>
    <w:rsid w:val="008C1BC0"/>
    <w:rsid w:val="008E1349"/>
    <w:rsid w:val="008E2C8F"/>
    <w:rsid w:val="00907EA5"/>
    <w:rsid w:val="00952F29"/>
    <w:rsid w:val="009579FE"/>
    <w:rsid w:val="00967B20"/>
    <w:rsid w:val="009F5CC2"/>
    <w:rsid w:val="00A12843"/>
    <w:rsid w:val="00A6623B"/>
    <w:rsid w:val="00A84617"/>
    <w:rsid w:val="00AA1AA6"/>
    <w:rsid w:val="00AA6D24"/>
    <w:rsid w:val="00AB3E35"/>
    <w:rsid w:val="00AF48F3"/>
    <w:rsid w:val="00B04252"/>
    <w:rsid w:val="00B352CE"/>
    <w:rsid w:val="00B37F3D"/>
    <w:rsid w:val="00B51AD7"/>
    <w:rsid w:val="00B7207F"/>
    <w:rsid w:val="00C021A3"/>
    <w:rsid w:val="00C04B20"/>
    <w:rsid w:val="00C1039C"/>
    <w:rsid w:val="00C139A1"/>
    <w:rsid w:val="00C145EB"/>
    <w:rsid w:val="00C1489F"/>
    <w:rsid w:val="00C24FFD"/>
    <w:rsid w:val="00C41E6E"/>
    <w:rsid w:val="00C54681"/>
    <w:rsid w:val="00C7447B"/>
    <w:rsid w:val="00C80A2B"/>
    <w:rsid w:val="00C9008F"/>
    <w:rsid w:val="00CA2CB5"/>
    <w:rsid w:val="00CA4D76"/>
    <w:rsid w:val="00CE41FE"/>
    <w:rsid w:val="00CE550E"/>
    <w:rsid w:val="00D350A6"/>
    <w:rsid w:val="00D41A76"/>
    <w:rsid w:val="00D50889"/>
    <w:rsid w:val="00D80128"/>
    <w:rsid w:val="00D97972"/>
    <w:rsid w:val="00DE7DDC"/>
    <w:rsid w:val="00DF4CF8"/>
    <w:rsid w:val="00E33EF8"/>
    <w:rsid w:val="00E60A93"/>
    <w:rsid w:val="00EA5A86"/>
    <w:rsid w:val="00ED40E7"/>
    <w:rsid w:val="00EE3B52"/>
    <w:rsid w:val="00F1200F"/>
    <w:rsid w:val="00F80633"/>
    <w:rsid w:val="00F9136A"/>
    <w:rsid w:val="00F925B9"/>
    <w:rsid w:val="00FA0E43"/>
    <w:rsid w:val="00FB143A"/>
    <w:rsid w:val="00FB6347"/>
    <w:rsid w:val="00FC73BE"/>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B353CC"/>
  <w15:chartTrackingRefBased/>
  <w15:docId w15:val="{86A0A59C-6721-4086-AE2D-80F26A8E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BackgroundPlaceholder">
    <w:name w:val="Background Placeholder"/>
    <w:basedOn w:val="Normal"/>
    <w:next w:val="Normal"/>
    <w:semiHidden/>
    <w:qFormat/>
    <w:rsid w:val="00E33EF8"/>
    <w:pPr>
      <w:spacing w:before="0" w:after="600"/>
    </w:pPr>
    <w:rPr>
      <w:sz w:val="1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numPr>
        <w:numId w:val="18"/>
      </w:numPr>
      <w:spacing w:before="120" w:after="120" w:line="240" w:lineRule="exact"/>
      <w:ind w:left="360"/>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eNumbers">
    <w:name w:val="Page Numbers"/>
    <w:basedOn w:val="Normal"/>
    <w:uiPriority w:val="12"/>
    <w:semiHidden/>
    <w:qFormat/>
    <w:rsid w:val="00C9008F"/>
    <w:pPr>
      <w:jc w:val="right"/>
    </w:pPr>
  </w:style>
  <w:style w:type="character" w:customStyle="1" w:styleId="text-token-text-secondary">
    <w:name w:val="text-token-text-secondary"/>
    <w:basedOn w:val="DefaultParagraphFont"/>
    <w:rsid w:val="003A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7436">
      <w:bodyDiv w:val="1"/>
      <w:marLeft w:val="0"/>
      <w:marRight w:val="0"/>
      <w:marTop w:val="0"/>
      <w:marBottom w:val="0"/>
      <w:divBdr>
        <w:top w:val="none" w:sz="0" w:space="0" w:color="auto"/>
        <w:left w:val="none" w:sz="0" w:space="0" w:color="auto"/>
        <w:bottom w:val="none" w:sz="0" w:space="0" w:color="auto"/>
        <w:right w:val="none" w:sz="0" w:space="0" w:color="auto"/>
      </w:divBdr>
    </w:div>
    <w:div w:id="920024886">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 w:id="1386757421">
      <w:bodyDiv w:val="1"/>
      <w:marLeft w:val="0"/>
      <w:marRight w:val="0"/>
      <w:marTop w:val="0"/>
      <w:marBottom w:val="0"/>
      <w:divBdr>
        <w:top w:val="none" w:sz="0" w:space="0" w:color="auto"/>
        <w:left w:val="none" w:sz="0" w:space="0" w:color="auto"/>
        <w:bottom w:val="none" w:sz="0" w:space="0" w:color="auto"/>
        <w:right w:val="none" w:sz="0" w:space="0" w:color="auto"/>
      </w:divBdr>
    </w:div>
    <w:div w:id="1478692371">
      <w:bodyDiv w:val="1"/>
      <w:marLeft w:val="0"/>
      <w:marRight w:val="0"/>
      <w:marTop w:val="0"/>
      <w:marBottom w:val="0"/>
      <w:divBdr>
        <w:top w:val="none" w:sz="0" w:space="0" w:color="auto"/>
        <w:left w:val="none" w:sz="0" w:space="0" w:color="auto"/>
        <w:bottom w:val="none" w:sz="0" w:space="0" w:color="auto"/>
        <w:right w:val="none" w:sz="0" w:space="0" w:color="auto"/>
      </w:divBdr>
    </w:div>
    <w:div w:id="20672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omi\AppData\Roaming\Microsoft\Templates\Classic%20minut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BCE19-D873-48E7-8AA1-A7C6AF309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2C0C69A4-DCA6-4A12-8500-1AC62584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FD6F9-5CD7-4550-8D85-2614CDE72381}">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minutes</Template>
  <TotalTime>10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dc:creator>
  <cp:lastModifiedBy>Jonathan Loomis</cp:lastModifiedBy>
  <cp:revision>6</cp:revision>
  <dcterms:created xsi:type="dcterms:W3CDTF">2024-06-21T17:06:00Z</dcterms:created>
  <dcterms:modified xsi:type="dcterms:W3CDTF">2024-06-24T20:33:00Z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